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62" w:rsidRPr="006B1662" w:rsidRDefault="006B1662" w:rsidP="006B1662">
      <w:pPr>
        <w:spacing w:line="276" w:lineRule="auto"/>
        <w:jc w:val="center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bookmarkStart w:id="0" w:name="_GoBack"/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ОБЪЯВЛЕНИЕ</w:t>
      </w:r>
    </w:p>
    <w:p w:rsidR="006B1662" w:rsidRPr="006B1662" w:rsidRDefault="006B1662" w:rsidP="006B1662">
      <w:pPr>
        <w:spacing w:line="276" w:lineRule="auto"/>
        <w:jc w:val="center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о проведении конкурса на включение в кадровый резерв</w:t>
      </w:r>
    </w:p>
    <w:p w:rsidR="006B1662" w:rsidRPr="006B1662" w:rsidRDefault="006B1662" w:rsidP="006B1662">
      <w:pPr>
        <w:spacing w:line="276" w:lineRule="auto"/>
        <w:jc w:val="center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Управления Федеральной налоговой службы</w:t>
      </w:r>
    </w:p>
    <w:p w:rsidR="006B1662" w:rsidRPr="006B1662" w:rsidRDefault="006B1662" w:rsidP="006B1662">
      <w:pPr>
        <w:spacing w:line="276" w:lineRule="auto"/>
        <w:jc w:val="center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по Магаданской области</w:t>
      </w:r>
    </w:p>
    <w:bookmarkEnd w:id="0"/>
    <w:p w:rsidR="006B1662" w:rsidRPr="006B1662" w:rsidRDefault="006B1662" w:rsidP="006B1662">
      <w:pPr>
        <w:spacing w:line="276" w:lineRule="auto"/>
        <w:jc w:val="center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ind w:firstLine="708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Управление Федеральной налоговой службы по Магаданской области (далее Управление) проводит конкурс на включение гражданских служащих (граждан) в кадровый резерв для замещения должностей федеральной государственной гражданской службы: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- ведущей и старшей группы должностей категории «специалисты»;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- старшей группы должностей категории «обеспечивающие специалисты».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по направлениям: (регулирование налоговой деятельности, финансовое, правовое, общее, хозяйственное, кадровое обеспечение).</w:t>
      </w:r>
      <w:proofErr w:type="gramEnd"/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ind w:firstLine="708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Место прохождения государственной гражданской службы – Управление Федеральной налоговой службы  по Магаданской области, город Магадан.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2B77DB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Требования к уровню профессионального образования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для ведущей и старшей группы должностей категории «специалисты» - обязательно наличие высшего профессионального образования не ниже уровня – </w:t>
      </w:r>
      <w:proofErr w:type="spell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бакалавриат</w:t>
      </w:r>
      <w:proofErr w:type="spell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для старшей группы должностей категории «обеспечивающие специалисты» - обязательно наличие профессионального образования;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       Квалификационные требования к стажу работы: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без предъявления требований к стажу.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Требования к базовым знаниям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: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знание государственного языка Российской Федерации (русского языка);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- знание основ: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Конституции Российской Федерации;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Федерального закона от 27 мая 2003 г. № 58-ФЗ «О системе государственной службы Российской Федерации»;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Федерального закона от 27 июля 2004 г. № 79-ФЗ «О государственной гражданской службе Российской Федерации»;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 Федерального закона от 25 декабря 2008 г. № 273-ФЗ  «О противодействии коррупции»;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- знания в области информационно-коммуникационных технологий.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Требования к базовым умениям: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- мыслить системно (стратегически);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-планировать и рационально использовать рабочее время и достигать результата;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- коммуникативные умения;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- умения управлять изменениями; работать с информационными ресурсами.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 xml:space="preserve">Наличие профессиональных знаний: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применения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основы экономики, финансов и кредита, бухгалтерского и налогового учета; основы налогообложения; принципы формирования налоговой системы Российской Федерации; принципы налогового администрирования.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Наличие профессиональных умений, необходимых для выполнения работы в сфере, соответствующей направлению деятельности инспекции, обеспечения выполнения поставленных руководством задач, эффективного планирования служебного времени,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lastRenderedPageBreak/>
        <w:t>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Должностные обязанности, права и ответственность.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Основные права и обязанности,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b/>
          <w:sz w:val="21"/>
          <w:szCs w:val="21"/>
          <w:shd w:val="clear" w:color="auto" w:fill="FFFFFF"/>
          <w:lang w:eastAsia="en-US"/>
        </w:rPr>
        <w:t>Должностные обязанности гражданского служащего: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N 885;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своевременно и качественно исполнять поручения начальника отдела и руководства инспекции;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исполнять должностные обязанности в соответствии с должностным регламентом на высоком профессиональном уровне;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соблюдать при исполнении должностных обязанностей права и законные интересы граждан и организаций;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соблюдать Служебный распорядок Управления;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поддерживать уровень квалификации, необходимый для надлежащего исполнения должностных обязанностей;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беречь государственное  имущество, в том числе предоставленное ему для исполнения должностных обязанностей;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взаимодействовать с сотрудниками других подразделений государственного органа, других государственных органов для решения вопросов, входящих в его компетенцию;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Российской Федерации;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не совершать поступки, порочащие его честь и достоинство;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  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проявлять корректность в обращении с гражданами и сотрудниками государственного органа;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не допускать конфликтных ситуаций, способных нанести ущерб его репутации или авторитету государственного органа;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соблюдать установленные правила публичных выступлений и предоставления служебной информации;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уметь пользоваться компьютером и иной оргтехникой.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В целях исполнения возложенных должностных обязанностей гражданский служащий имеет право 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на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обеспечение надлежащими организационно-техническими условиями, необходимыми для исполнения должностных обязанностей;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ознакомление с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</w:t>
      </w: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lastRenderedPageBreak/>
        <w:t>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Инспекции;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 его  письменных  объяснений  и  других документов и материалов;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защиту сведений о себе;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должностной рост на конкурсной основе;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членство в профессиональном союзе;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рассмотрение индивидуальных служебных споров в соответствии с законодательством о государственной гражданской службе;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проведение по его заявлению служебной проверки;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защиту своих прав и законных интересов, в том числе в суде, при прохождении государственной гражданской службы;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выходить с предложениями о совершенствовании работы отдела.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Гражданский служащий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 Межрайонной инспекции Федеральной налоговой службы, утвержденным руководителем управления ФНС России по Магаданской области «08» июня 2015 г., положениями об отделах структурных подразделений, приказами (распоряжениями) ФНС России, приказами управления ФНС России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по Магаданской области (далее - управление), приказами инспекции, поручениями руководства инспекции.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Эффективность профессиональной служебной деятельности оценивается по следующим показателям: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своевременности и оперативности выполнения поручений;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осознанию ответственности за последствия своих действий.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Гражданин, изъявивший желание принять участие в конкурсе, представляет следующие документы: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а) личное заявление;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б) заполненную и подписанную анкету по форме, утвержденной распоряжением Правительства Российской Федерации от 26 мая 2005 г. № 667-р (с изменениями и дополнениями) с приложением фотографий;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г) документы, подтверждающие необходимое профессиональное образование, квалификацию и стаж работы: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Минздравсоцразвития</w:t>
      </w:r>
      <w:proofErr w:type="spell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РФ от 14.12.2009 № 984н);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е) копию страхового свидетельства обязательного пенсионного страхования;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ж) 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з) копии документов воинского учета (для военнообязанных и лиц, подлежащих призыву на военную службу);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и)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л) копии свидетельств о государственной регистрации актов гражданского состояния;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м) копию полиса обязательного медицинского страхования;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н) при наличии – документ, подтверждающий допу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ск к св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едениям, составляющим государственную и иную охраняемую законом тайну;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lastRenderedPageBreak/>
        <w:tab/>
        <w:t xml:space="preserve">Прием документов производится по адресу: г. Магадан, ул. 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Пролетарская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, д. 12, </w:t>
      </w:r>
      <w:proofErr w:type="spell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каб</w:t>
      </w:r>
      <w:proofErr w:type="spell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. № 412, с 09 ч 45 мин. до 13 ч 00 мин. и с 14 ч. 15 мин. до 17 ч 00 мин., 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тел. 8 (4132) 62-78-52 в течение 21 дня со дня размещения в Интернет-ресурсе «Федеральный портал управленческих кадров» и в региональном блоке официального сайта ФНС России (с 10.02.2021 по 02.03.2021 г.).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Предполагаемая дата проведения конкурса с 23 марта по 26 марта 2021 г.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 xml:space="preserve">Место проведения конкурса: г. Магадан, ул. 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Пролетарская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, д. 12, </w:t>
      </w:r>
      <w:proofErr w:type="spell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каб</w:t>
      </w:r>
      <w:proofErr w:type="spell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. 402.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должности гражданской службы, на замещение которой претендуют кандидаты, а также в форме тестирования на выявление знаний из шести областей: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- знание государственного языка Российской Федерации – русского языка;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- знание Конституции Российской Федерации и основ конституционного устройства Российской Федерации;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- знание законодательства о гражданской службе;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- знание законодательства Российской Федерации о противодействии коррупции;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ab/>
        <w:t>- знания в области информационно-коммуникационных технологий;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-знания по вопросам профессиональной служебной деятельности по направлениям деятельности гражданской службы.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(http://gossluzhba.gov.ru)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    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"О государственной гражданской службе Российской Федерации".                                                                           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дств св</w:t>
      </w:r>
      <w:proofErr w:type="gramEnd"/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язи и другие), осуществляются кандидатами за счет собственных средств.</w:t>
      </w:r>
    </w:p>
    <w:p w:rsidR="006B1662" w:rsidRPr="006B1662" w:rsidRDefault="006B1662" w:rsidP="006B1662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</w:pPr>
      <w:r w:rsidRPr="006B1662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8A47E1" w:rsidRPr="006B1662" w:rsidRDefault="008A47E1" w:rsidP="006B1662"/>
    <w:sectPr w:rsidR="008A47E1" w:rsidRPr="006B1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E1"/>
    <w:rsid w:val="002B77DB"/>
    <w:rsid w:val="00491BA2"/>
    <w:rsid w:val="004D598C"/>
    <w:rsid w:val="006B1662"/>
    <w:rsid w:val="008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Шишова Алена Игоревна</dc:creator>
  <cp:lastModifiedBy>FNS</cp:lastModifiedBy>
  <cp:revision>6</cp:revision>
  <cp:lastPrinted>2021-02-09T04:35:00Z</cp:lastPrinted>
  <dcterms:created xsi:type="dcterms:W3CDTF">2021-02-11T23:14:00Z</dcterms:created>
  <dcterms:modified xsi:type="dcterms:W3CDTF">2021-02-11T23:31:00Z</dcterms:modified>
</cp:coreProperties>
</file>